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Муниципальное казенное общеобразовательное учреждение                                               «Основная общеобразовательная школа с. Полевое»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СОГЛАСОВАНА                                                                       УТВЕРЖДЕНА</w:t>
      </w:r>
      <w:r>
        <w:rPr>
          <w:rFonts w:ascii="Times New Roman" w:cs="Times New Roman" w:eastAsia="Times New Roman" w:hAnsi="Times New Roman"/>
          <w:color w:val="00000A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Заместителем  директора   по ВР                                         Приказ «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lang w:eastAsia="ru-RU"/>
        </w:rPr>
        <w:t>14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_» «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lang w:eastAsia="ru-RU"/>
        </w:rPr>
        <w:t>08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» 2018 г. № 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lang w:eastAsia="ru-RU"/>
        </w:rPr>
        <w:t>164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___________ Михайличенко Р.М .                                                            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«____»  «_____»  2018 г.                                          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200" w:lineRule="atLeast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  <w:tab w:leader="none" w:pos="7556" w:val="left"/>
        </w:tabs>
        <w:suppressAutoHyphens w:val="true"/>
        <w:spacing w:after="0" w:before="0" w:line="240" w:lineRule="atLeast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Программа внеурочной деятельности</w:t>
      </w:r>
    </w:p>
    <w:p>
      <w:pPr>
        <w:pStyle w:val="style0"/>
        <w:tabs>
          <w:tab w:leader="none" w:pos="708" w:val="left"/>
          <w:tab w:leader="none" w:pos="709" w:val="left"/>
          <w:tab w:leader="none" w:pos="7556" w:val="left"/>
        </w:tabs>
        <w:suppressAutoHyphens w:val="true"/>
        <w:spacing w:after="0" w:before="0" w:line="240" w:lineRule="atLeast"/>
        <w:jc w:val="center"/>
      </w:pPr>
      <w:r>
        <w:rPr>
          <w:rFonts w:ascii="Times New Roman" w:cs="Times New Roman" w:eastAsia="Times New Roman" w:hAnsi="Times New Roman"/>
          <w:b/>
          <w:color w:val="00000A"/>
          <w:sz w:val="24"/>
          <w:szCs w:val="24"/>
          <w:lang w:eastAsia="ru-RU"/>
        </w:rPr>
        <w:t>«Эрудит »</w:t>
      </w:r>
    </w:p>
    <w:p>
      <w:pPr>
        <w:pStyle w:val="style0"/>
        <w:tabs>
          <w:tab w:leader="none" w:pos="708" w:val="left"/>
          <w:tab w:leader="none" w:pos="709" w:val="left"/>
          <w:tab w:leader="none" w:pos="7556" w:val="left"/>
        </w:tabs>
        <w:suppressAutoHyphens w:val="true"/>
        <w:spacing w:after="0" w:before="0" w:line="240" w:lineRule="atLeast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для учащихся 4 класса</w:t>
      </w:r>
    </w:p>
    <w:p>
      <w:pPr>
        <w:pStyle w:val="style0"/>
        <w:tabs>
          <w:tab w:leader="none" w:pos="708" w:val="left"/>
          <w:tab w:leader="none" w:pos="709" w:val="left"/>
          <w:tab w:leader="none" w:pos="7556" w:val="left"/>
        </w:tabs>
        <w:suppressAutoHyphens w:val="true"/>
        <w:spacing w:after="0" w:before="0" w:line="240" w:lineRule="atLeast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на 2018-2019учебный год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Составитель: Колобова Л.Г. – учитель начальных классов.</w:t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  <w:suppressAutoHyphens w:val="true"/>
        <w:spacing w:after="0" w:before="0" w:line="100" w:lineRule="atLeast"/>
        <w:jc w:val="center"/>
      </w:pPr>
      <w:r>
        <w:rPr>
          <w:rFonts w:ascii="Times New Roman" w:cs="Calibri" w:eastAsia="Calibri" w:hAnsi="Times New Roman"/>
          <w:sz w:val="24"/>
          <w:szCs w:val="24"/>
          <w:lang w:eastAsia="ar-SA"/>
        </w:rPr>
        <w:t xml:space="preserve">с. Полевое, 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2018 г</w:t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itlePg/>
          <w:textDirection w:val="lrTb"/>
          <w:docGrid w:charSpace="8192" w:linePitch="360" w:type="default"/>
        </w:sectPr>
        <w:pStyle w:val="style0"/>
        <w:jc w:val="center"/>
      </w:pPr>
      <w:r>
        <w:rPr/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записка.</w:t>
      </w:r>
    </w:p>
    <w:p>
      <w:pPr>
        <w:pStyle w:val="style0"/>
        <w:tabs>
          <w:tab w:leader="none" w:pos="567" w:val="left"/>
          <w:tab w:leader="none" w:pos="709" w:val="left"/>
        </w:tabs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ab/>
        <w:tab/>
        <w:t>Рабочая программа по внеурочной деятельности  «Эрудит» составлена  с учетом следующих нормативных, инструктивных и методических документов, обеспечивающих организацию образовательного процесса:</w:t>
      </w:r>
    </w:p>
    <w:p>
      <w:pPr>
        <w:pStyle w:val="style39"/>
        <w:numPr>
          <w:ilvl w:val="0"/>
          <w:numId w:val="3"/>
        </w:numPr>
        <w:ind w:hanging="0" w:left="615" w:right="0"/>
        <w:jc w:val="both"/>
      </w:pPr>
      <w:r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 (редакция от 23.07.2013).</w:t>
      </w:r>
    </w:p>
    <w:p>
      <w:pPr>
        <w:pStyle w:val="style39"/>
        <w:numPr>
          <w:ilvl w:val="0"/>
          <w:numId w:val="3"/>
        </w:numPr>
        <w:ind w:hanging="0" w:left="615" w:right="0"/>
        <w:jc w:val="both"/>
      </w:pPr>
      <w:r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</w:t>
      </w:r>
    </w:p>
    <w:p>
      <w:pPr>
        <w:pStyle w:val="style39"/>
        <w:numPr>
          <w:ilvl w:val="0"/>
          <w:numId w:val="3"/>
        </w:numPr>
        <w:ind w:hanging="0" w:left="615" w:right="0"/>
        <w:jc w:val="both"/>
      </w:pPr>
      <w:r>
        <w:rPr>
          <w:rFonts w:ascii="Times New Roman" w:hAnsi="Times New Roman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 г. № 08-548</w:t>
      </w:r>
    </w:p>
    <w:p>
      <w:pPr>
        <w:pStyle w:val="style39"/>
        <w:numPr>
          <w:ilvl w:val="0"/>
          <w:numId w:val="3"/>
        </w:numPr>
        <w:ind w:hanging="0" w:left="615" w:right="0"/>
        <w:jc w:val="both"/>
      </w:pPr>
      <w:r>
        <w:rPr>
          <w:rFonts w:ascii="Times New Roman" w:hAnsi="Times New Roman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02600 (Зарегистрирован Минюстом России 03.03.2011 № 23290)</w:t>
      </w:r>
    </w:p>
    <w:p>
      <w:pPr>
        <w:pStyle w:val="style39"/>
        <w:numPr>
          <w:ilvl w:val="0"/>
          <w:numId w:val="3"/>
        </w:numPr>
        <w:ind w:hanging="0" w:left="615" w:right="0"/>
        <w:jc w:val="both"/>
      </w:pPr>
      <w:r>
        <w:rPr>
          <w:rFonts w:ascii="Times New Roman" w:hAnsi="Times New Roman"/>
          <w:sz w:val="24"/>
          <w:szCs w:val="24"/>
        </w:rPr>
        <w:t>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О примерных программах по учебным предметам федерального базисного учебного плана/ Приказ Министерства образования и науки Российской Федерации от 07.07.2005 г. № 03-126.</w:t>
      </w:r>
    </w:p>
    <w:p>
      <w:pPr>
        <w:pStyle w:val="style39"/>
        <w:numPr>
          <w:ilvl w:val="0"/>
          <w:numId w:val="3"/>
        </w:numPr>
        <w:jc w:val="both"/>
      </w:pP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Приказ Комитета образования от 10.04.2018 №1584/15-01 «Об организации образовательной деятельности в 2018-2019 учебном году»</w:t>
      </w:r>
    </w:p>
    <w:p>
      <w:pPr>
        <w:pStyle w:val="style0"/>
        <w:numPr>
          <w:ilvl w:val="0"/>
          <w:numId w:val="3"/>
        </w:numPr>
        <w:tabs>
          <w:tab w:leader="none" w:pos="567" w:val="left"/>
          <w:tab w:leader="none" w:pos="709" w:val="left"/>
        </w:tabs>
        <w:spacing w:after="0" w:before="0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Приказ МКОУ «ООШ с.Полевое» от 14.08.2018 г №164 «Об утверждении ООП на 2018-2019 учебный год» </w:t>
      </w:r>
    </w:p>
    <w:p>
      <w:pPr>
        <w:pStyle w:val="style0"/>
        <w:tabs>
          <w:tab w:leader="none" w:pos="567" w:val="left"/>
          <w:tab w:leader="none" w:pos="709" w:val="left"/>
        </w:tabs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  <w:br/>
        <w:t xml:space="preserve">       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  <w:br/>
        <w:t xml:space="preserve">       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  <w:br/>
        <w:t xml:space="preserve">       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невостребованности. Процент одарённых (с точки зрения психологов) с годами резко снижается: если в 10-летнем возрасте их примерно 60-70%, то к 14 годам 30-40%, а к 17 – 15-20%.</w:t>
        <w:br/>
        <w:t xml:space="preserve">         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  <w:br/>
        <w:t xml:space="preserve">       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Наиболее эффективным средством развития, выявления способностей и интересов учащихся являются предметные олимпиады.</w:t>
        <w:br/>
        <w:t xml:space="preserve">        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развивающе, стимулируют интерес к наукам.</w:t>
        <w:br/>
        <w:t xml:space="preserve">         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  <w:br/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ru-RU"/>
        </w:rPr>
        <w:t xml:space="preserve">        </w:t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Основная цель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– подготовка учащихся начальных классов к предметным олимпиадам. Данная цель достигается через решение следующих </w:t>
      </w:r>
      <w:r>
        <w:rPr>
          <w:rFonts w:ascii="Times New Roman" w:cs="Times New Roman" w:eastAsia="Times New Roman" w:hAnsi="Times New Roman"/>
          <w:iCs/>
          <w:sz w:val="24"/>
          <w:szCs w:val="24"/>
          <w:lang w:eastAsia="ru-RU"/>
        </w:rPr>
        <w:t>задач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  <w:br/>
        <w:t>- развитие у детей умения анализировать и решать задачи повышенной трудности;</w:t>
        <w:br/>
        <w:t>- решение нестандартных логических задач;</w:t>
        <w:br/>
        <w:t>- раскрытие творческих способностей ребенка;</w:t>
        <w:br/>
        <w:t xml:space="preserve">- создание условий для применения полученных знаний в </w:t>
        <w:br/>
        <w:t>нестандартных ситуациях.</w:t>
      </w:r>
    </w:p>
    <w:p>
      <w:pPr>
        <w:pStyle w:val="style0"/>
        <w:tabs>
          <w:tab w:leader="none" w:pos="567" w:val="left"/>
          <w:tab w:leader="none" w:pos="709" w:val="left"/>
        </w:tabs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Ожидаемые результаты</w:t>
      </w:r>
      <w:r>
        <w:rPr>
          <w:rFonts w:ascii="Times New Roman" w:cs="Times New Roman" w:eastAsia="Times New Roman" w:hAnsi="Times New Roman"/>
          <w:iCs/>
          <w:sz w:val="24"/>
          <w:szCs w:val="24"/>
          <w:lang w:eastAsia="ru-RU"/>
        </w:rPr>
        <w:t>:</w:t>
      </w:r>
    </w:p>
    <w:p>
      <w:pPr>
        <w:pStyle w:val="style0"/>
        <w:tabs>
          <w:tab w:leader="none" w:pos="567" w:val="left"/>
          <w:tab w:leader="none" w:pos="709" w:val="left"/>
        </w:tabs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  <w:br/>
        <w:t>- повышение интереса учащихся к предметам: математика, информатика, литературное чтение, русский язык, окружающий мир.</w:t>
        <w:br/>
        <w:t>Программа кружка состоит из двух разделов:</w:t>
        <w:br/>
        <w:t xml:space="preserve">I раздел. Математика. </w:t>
        <w:br/>
        <w:t>II раздел. Русский язык. Литературное чтение. Окружающий мир.</w:t>
        <w:br/>
        <w:t xml:space="preserve">       Одним из самых эффективных способов подготовки к олимпиаде, является анализ заданий, предложенных на предыдущих олимпиадах. Основу заданий для подготовки учащихся к предметным олимпиадам составляют задания дистанционных олимпиад.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</w:t>
      </w:r>
      <w:r>
        <w:rPr>
          <w:rFonts w:ascii="Times New Roman" w:cs="Times New Roman" w:eastAsia="Calibri" w:hAnsi="Times New Roman"/>
          <w:sz w:val="24"/>
          <w:szCs w:val="24"/>
        </w:rPr>
        <w:t>Согласно базисному учебному плану внеурочной деятельности программа рассчитана на 1 час в неделю, всего 34 часа в год. В связи с праздничными днями и неполными рабочими неделями произошло уплотнение материала: объединены занятия №10 и №11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Олимпиадные задания по русскому языку</w:t>
      </w:r>
      <w:r>
        <w:rPr>
          <w:rFonts w:ascii="Times New Roman" w:cs="Times New Roman" w:eastAsia="Calibri" w:hAnsi="Times New Roman"/>
          <w:sz w:val="24"/>
          <w:szCs w:val="24"/>
        </w:rPr>
        <w:t>» и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Морфология. Лексика</w:t>
      </w:r>
      <w:r>
        <w:rPr>
          <w:rFonts w:ascii="Times New Roman" w:cs="Times New Roman" w:eastAsia="Calibri" w:hAnsi="Times New Roman"/>
          <w:sz w:val="24"/>
          <w:szCs w:val="24"/>
        </w:rPr>
        <w:t>»,  №17 и №18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Интересные приёмы устных вычислений» и «Задачки о времени».</w:t>
        <w:br/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СОДЕРЖАНИЕ ПРОГРАММЫ</w:t>
      </w:r>
    </w:p>
    <w:p>
      <w:pPr>
        <w:pStyle w:val="style0"/>
        <w:spacing w:after="0" w:before="0" w:line="100" w:lineRule="atLeast"/>
        <w:jc w:val="lef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Математика.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 xml:space="preserve">Решение нестандартных, комбинаторных задач по математике и информатике. 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Выполнение заданий по русскому языку,  литературному чтению, окружающему миру. Поиск информации в энциклопедии. Анализ олимпиад по русскому языку, литературному чтению, окружающему миру текущего года.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Актуальность выбора определена следующими факторами: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Новизна данной рабочей программы определена федеральным государственным стандартом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образования. Отличительными особенностями являются:</w:t>
        <w:br/>
        <w:t xml:space="preserve">1.Определение видов организации деятельности учащихся, направленных на достижение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личностных, метапредметных и предметных результатов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освоения учебного курса.</w:t>
        <w:br/>
        <w:t xml:space="preserve">2. В основу реализации программы положены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ценностные ориентиры и воспитательные результаты.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  <w:br/>
        <w:t xml:space="preserve">3.Ценностные ориентации организации деятельности предполагают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уровневую оценк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у в достижении планируемых результатов. </w:t>
        <w:br/>
        <w:t>4.Достижения планируемых результатов отслеживаются в рамках внутренней системы оценки: педагогом, администрацией.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       Цель данного курса: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Основные задачи курса: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навыков творческого мышления и развитие умения решать нестандартные задачи;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>
      <w:pPr>
        <w:pStyle w:val="style0"/>
        <w:numPr>
          <w:ilvl w:val="0"/>
          <w:numId w:val="2"/>
        </w:numPr>
        <w:spacing w:after="28" w:before="28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Таким образом, принципиальной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задачей предлагаемого курса является именно развитие познавательных способностей и общеучебных умений и навыков, а не усвоение каких-то конкретных знаний и умений.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Ценность истины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человека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Ценность труда и творчества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свободы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гражданственности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Ценность патриотизма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в осознанном желании служить Отечеству. </w:t>
        <w:br/>
      </w: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Задания на развитие внимания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  <w:br/>
        <w:t>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</w:t>
        <w:br/>
      </w: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Задания, развивающие память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  <w:br/>
      </w:r>
      <w:r>
        <w:rPr>
          <w:rFonts w:ascii="Times New Roman" w:cs="Times New Roman" w:eastAsia="Times New Roman" w:hAnsi="Times New Roman"/>
          <w:b/>
          <w:bCs/>
          <w:iCs/>
          <w:sz w:val="24"/>
          <w:szCs w:val="24"/>
          <w:lang w:eastAsia="ru-RU"/>
        </w:rPr>
        <w:t>Задания, развивающие мышление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t>Приоритетным направлением обучения в начальной школе является развитие мышления. В процессе выполнения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  <w:br/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метапредметные и предметные результаты освоения курса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>
      <w:pPr>
        <w:pStyle w:val="style38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-Определять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высказывать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общие для всех людей правила поведения при сотрудничестве (этические нормы).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-О предложенных педагогом ситуациях общения и сотрудничества, опираясь на общие для всех правила поведения,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делать выбор</w:t>
      </w:r>
      <w:r>
        <w:rPr>
          <w:rFonts w:ascii="Times New Roman" w:cs="Times New Roman" w:hAnsi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  <w:br/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Регулятивные УУД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</w:p>
    <w:p>
      <w:pPr>
        <w:pStyle w:val="style38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-Определять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формулировать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цель деятельности с помощью учителя. </w:t>
      </w:r>
    </w:p>
    <w:p>
      <w:pPr>
        <w:pStyle w:val="style38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-Проговаривать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последовательность действий . 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-Учиться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высказывать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-Учиться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работать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-Учиться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отличать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-Учиться совместно с учителем и другими учениками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давать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эмоциональную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оценку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деятельности товарищей.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Познавательные УУД: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-Ориентироваться в своей системе знаний: 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отличать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-Делать предварительный отбор источников информации: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 xml:space="preserve"> ориентироваться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-Добывать новые знания: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 xml:space="preserve"> находить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ответы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-Перерабатывать полученную информацию: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 xml:space="preserve"> делать выводы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-Перерабатывать полученную информацию: 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сравнивать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группировать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iCs/>
          <w:sz w:val="24"/>
          <w:szCs w:val="24"/>
          <w:lang w:eastAsia="ru-RU"/>
        </w:rPr>
        <w:t>Коммуникативные УУД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-Донести свою позицию до других:</w:t>
      </w: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 xml:space="preserve"> оформлять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>
      <w:pPr>
        <w:pStyle w:val="style38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-Слушать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понимать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речь других.</w:t>
      </w:r>
    </w:p>
    <w:p>
      <w:pPr>
        <w:pStyle w:val="style38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-Читать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пересказывать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текст.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-Совместно договариваться о правилах общения и поведения в школе и следовать им.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-Учиться выполнять различные роли в группе (лидера, исполнителя, критика).</w:t>
        <w:br/>
      </w: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 xml:space="preserve"> Предметными результатами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изучения курса являются формирование следующих умений: </w:t>
        <w:br/>
        <w:t>- описывать признаки предметов и узнавать предметы по их признакам;</w:t>
        <w:br/>
        <w:t>-выделять существенные признаки предметов;</w:t>
        <w:br/>
        <w:t>-сравнивать между собой предметы, явления;</w:t>
        <w:br/>
        <w:t>-обобщать, делать несложные выводы;</w:t>
        <w:br/>
        <w:t>-классифицировать явления, предметы;</w:t>
        <w:br/>
        <w:t>-определять последовательность событий;</w:t>
        <w:br/>
        <w:t>-судить о противоположных явлениях;</w:t>
        <w:br/>
        <w:t>-давать определения тем или иным понятиям;</w:t>
        <w:br/>
        <w:t>-определять отношения между предметами типа «род» - «вид»;</w:t>
        <w:br/>
        <w:t>-выявлять функциональные отношения между понятиями;</w:t>
        <w:br/>
        <w:t xml:space="preserve">-выявлять закономерности и проводить аналогии. </w:t>
        <w:br/>
        <w:br/>
      </w: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 xml:space="preserve"> Для оценки эффективности занятий можно использовать следующие показатели:</w:t>
      </w:r>
      <w:r>
        <w:rPr>
          <w:rFonts w:ascii="Times New Roman" w:cs="Times New Roman" w:hAnsi="Times New Roman"/>
          <w:sz w:val="24"/>
          <w:szCs w:val="24"/>
          <w:lang w:eastAsia="ru-RU"/>
        </w:rPr>
        <w:br/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  <w:br/>
        <w:t>– поведение учащихся на занятиях: живость, активность, заинтересованность школьников обеспечивают положительные результаты занятий;</w:t>
        <w:br/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  <w:br/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  <w:br/>
      </w:r>
    </w:p>
    <w:p>
      <w:pPr>
        <w:pStyle w:val="style38"/>
      </w:pPr>
      <w:r>
        <w:rPr>
          <w:rFonts w:ascii="Times New Roman" w:cs="Times New Roman" w:eastAsia="Cambria" w:hAnsi="Times New Roman"/>
          <w:b/>
          <w:sz w:val="24"/>
          <w:szCs w:val="24"/>
        </w:rPr>
        <w:t>Требования к результатам освоения программы</w:t>
      </w:r>
    </w:p>
    <w:p>
      <w:pPr>
        <w:pStyle w:val="style38"/>
      </w:pPr>
      <w:r>
        <w:rPr>
          <w:rStyle w:val="style26"/>
          <w:rFonts w:ascii="Times New Roman" w:cs="Times New Roman" w:eastAsia="Cambria" w:hAnsi="Times New Roman"/>
          <w:iCs/>
          <w:color w:val="000000"/>
          <w:sz w:val="24"/>
          <w:szCs w:val="24"/>
        </w:rPr>
        <w:t xml:space="preserve">          </w:t>
      </w:r>
      <w:r>
        <w:rPr>
          <w:rStyle w:val="style26"/>
          <w:rFonts w:ascii="Times New Roman" w:cs="Times New Roman" w:eastAsia="Cambria" w:hAnsi="Times New Roman"/>
          <w:b/>
          <w:iCs/>
          <w:color w:val="000000"/>
          <w:sz w:val="24"/>
          <w:szCs w:val="24"/>
        </w:rPr>
        <w:t>Первый уровень результатов</w:t>
      </w:r>
      <w:r>
        <w:rPr>
          <w:rStyle w:val="style26"/>
          <w:rFonts w:ascii="Times New Roman" w:cs="Times New Roman" w:eastAsia="Cambria" w:hAnsi="Times New Roman"/>
          <w:color w:val="000000"/>
          <w:sz w:val="24"/>
          <w:szCs w:val="24"/>
        </w:rPr>
        <w:t> – уточнение, углубление, расширение первичных знаний, полученных на уроках.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>
      <w:pPr>
        <w:pStyle w:val="style38"/>
      </w:pPr>
      <w:r>
        <w:rPr>
          <w:rStyle w:val="style26"/>
          <w:rFonts w:ascii="Times New Roman" w:cs="Times New Roman" w:eastAsia="Cambria" w:hAnsi="Times New Roman"/>
          <w:iCs/>
          <w:color w:val="000000"/>
          <w:sz w:val="24"/>
          <w:szCs w:val="24"/>
        </w:rPr>
        <w:t xml:space="preserve">         </w:t>
      </w:r>
      <w:r>
        <w:rPr>
          <w:rStyle w:val="style26"/>
          <w:rFonts w:ascii="Times New Roman" w:cs="Times New Roman" w:eastAsia="Cambria" w:hAnsi="Times New Roman"/>
          <w:b/>
          <w:iCs/>
          <w:color w:val="000000"/>
          <w:sz w:val="24"/>
          <w:szCs w:val="24"/>
        </w:rPr>
        <w:t>Второй уровень результатов</w:t>
      </w:r>
      <w:r>
        <w:rPr>
          <w:rStyle w:val="style25"/>
          <w:rFonts w:ascii="Times New Roman" w:cs="Times New Roman" w:eastAsia="Cambria" w:hAnsi="Times New Roman"/>
          <w:i/>
          <w:iCs/>
          <w:color w:val="000000"/>
          <w:sz w:val="24"/>
          <w:szCs w:val="24"/>
        </w:rPr>
        <w:t> </w:t>
      </w:r>
      <w:r>
        <w:rPr>
          <w:rStyle w:val="style26"/>
          <w:rFonts w:ascii="Times New Roman" w:cs="Times New Roman" w:eastAsia="Cambria" w:hAnsi="Times New Roman"/>
          <w:color w:val="000000"/>
          <w:sz w:val="24"/>
          <w:szCs w:val="24"/>
        </w:rPr>
        <w:t>– получение ребенком опыта переживания и позитивного отношения к необходимости применять знания, ценностного отношения к предмету. Для достижения данного уровня результатов особое значение имеет взаимодействие детей между собой на уровне группы,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 знаний, начинает их ценить.</w:t>
      </w:r>
    </w:p>
    <w:p>
      <w:pPr>
        <w:pStyle w:val="style38"/>
      </w:pPr>
      <w:r>
        <w:rPr>
          <w:rStyle w:val="style26"/>
          <w:rFonts w:ascii="Times New Roman" w:cs="Times New Roman" w:eastAsia="Cambria" w:hAnsi="Times New Roman"/>
          <w:iCs/>
          <w:color w:val="000000"/>
          <w:sz w:val="24"/>
          <w:szCs w:val="24"/>
        </w:rPr>
        <w:t xml:space="preserve">        </w:t>
      </w:r>
      <w:r>
        <w:rPr>
          <w:rStyle w:val="style26"/>
          <w:rFonts w:ascii="Times New Roman" w:cs="Times New Roman" w:eastAsia="Cambria" w:hAnsi="Times New Roman"/>
          <w:b/>
          <w:iCs/>
          <w:color w:val="000000"/>
          <w:sz w:val="24"/>
          <w:szCs w:val="24"/>
        </w:rPr>
        <w:t>Третий уровень результатов</w:t>
      </w:r>
      <w:r>
        <w:rPr>
          <w:rStyle w:val="style25"/>
          <w:rFonts w:ascii="Times New Roman" w:cs="Times New Roman" w:eastAsia="Cambria" w:hAnsi="Times New Roman"/>
          <w:i/>
          <w:iCs/>
          <w:color w:val="000000"/>
          <w:sz w:val="24"/>
          <w:szCs w:val="24"/>
        </w:rPr>
        <w:t> </w:t>
      </w:r>
      <w:r>
        <w:rPr>
          <w:rStyle w:val="style26"/>
          <w:rFonts w:ascii="Times New Roman" w:cs="Times New Roman" w:eastAsia="Cambria" w:hAnsi="Times New Roman"/>
          <w:color w:val="000000"/>
          <w:sz w:val="24"/>
          <w:szCs w:val="24"/>
        </w:rPr>
        <w:t>– получение детьми опыта самостоятельного изучения, в том числе, передавать полученные знания более младшим ребятам, родителям и другим. Участвовать в коллективных проектах, акциях, олимпиадах на всех уровнях и т.п. мероприятиях. Только в самостоятельном общественном действии, действии в открытом социуме, за пределами дружественной среды школы, для других, зачастую незнакомых ему людей, юный человек действительно становится социальным деятелем, гражданином, свободным человеком.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>
      <w:pPr>
        <w:pStyle w:val="style38"/>
      </w:pPr>
      <w:r>
        <w:rPr/>
      </w:r>
    </w:p>
    <w:p>
      <w:pPr>
        <w:pStyle w:val="style0"/>
        <w:spacing w:after="28" w:before="28" w:line="100" w:lineRule="atLeast"/>
        <w:jc w:val="center"/>
      </w:pPr>
      <w:r>
        <w:rPr/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jc w:val="left"/>
        <w:tblInd w:type="dxa" w:w="126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1275"/>
        <w:gridCol w:w="1110"/>
        <w:gridCol w:w="4620"/>
        <w:gridCol w:w="2355"/>
      </w:tblGrid>
      <w:tr>
        <w:trPr>
          <w:trHeight w:hRule="atLeast" w:val="375"/>
          <w:cantSplit w:val="false"/>
        </w:trPr>
        <w:tc>
          <w:tcPr>
            <w:tcW w:type="dxa" w:w="127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111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type="dxa" w:w="4620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type="dxa" w:w="2355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hRule="atLeast" w:val="165"/>
          <w:cantSplit w:val="false"/>
        </w:trPr>
        <w:tc>
          <w:tcPr>
            <w:tcW w:type="dxa" w:w="1275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  <w:tc>
          <w:tcPr>
            <w:tcW w:type="dxa" w:w="1110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/>
            </w:r>
          </w:p>
        </w:tc>
        <w:tc>
          <w:tcPr>
            <w:tcW w:type="dxa" w:w="4620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/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Хорошо ли ты знаешь русский язык и математику.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Игры на эрудицию ("Логические цепочки", "Самый быстрый эрудит»).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Интеллектуальные игры. Игры с числами.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Развивающие игры. (Развиваем логическое мышление и сообразительность).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Арифметические операции над многозначными числами. Приёмы, облегчающие вычисления (умножение и деление.) 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Арифметические операции.  Головоломки, ребусы.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Арифметический материал. Составление выражений.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Нестандартные задачи (с лишними и недостающими данными).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русскому языку. Фонетика. Морфемика.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Олимпиадные задания по русскому языку. 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type="dxa" w:w="1215"/>
            <w:vMerge w:val="restart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Морфология. Лексика.</w:t>
            </w:r>
          </w:p>
        </w:tc>
        <w:tc>
          <w:tcPr>
            <w:tcW w:type="dxa" w:w="1140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  <w:tc>
          <w:tcPr>
            <w:tcW w:type="dxa" w:w="1215"/>
            <w:vMerge w:val="continue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Логические задачи.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Текстовые задачи.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Математические фокусы.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Волшебные (магические квадраты) и волшебная таблица.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Геометрия на плоскости.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Интересные приёмы устных вычислений.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type="dxa" w:w="1215"/>
            <w:vMerge w:val="restart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Задачки о времени.</w:t>
            </w:r>
          </w:p>
        </w:tc>
        <w:tc>
          <w:tcPr>
            <w:tcW w:type="dxa" w:w="1140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  <w:tc>
          <w:tcPr>
            <w:tcW w:type="dxa" w:w="1215"/>
            <w:vMerge w:val="continue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окружающему миру.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Арифметические и грамматические игры.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Происхождение слов. Почему их так называют?  Слова-пришельцы.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Приемы быстрого счета. Числа-великаны. Применение предметных знаний в нестандартных ситуациях.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Геометрические задачи.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Геометрия в пространстве.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Занимательная геометрия.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Поиск ответов на вопросы в энциклопедии и интернете.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Форма родительного падежа множественного числа имен существительных.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Решение орфографических задач.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Задачи с несколькими решениями.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Задачи с различной степенью наглядности решения (чертежи, схемы, иллюстрирование).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275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111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62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Логические задачи. Задачи-смекалки, задачи-шутки.</w:t>
            </w:r>
          </w:p>
        </w:tc>
        <w:tc>
          <w:tcPr>
            <w:tcW w:type="dxa" w:w="1140"/>
            <w:tcBorders>
              <w:left w:color="000000" w:space="0" w:sz="2" w:val="single"/>
              <w:bottom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type="dxa" w:w="121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FFFFFF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28" w:before="28"/>
            </w:pPr>
            <w:r>
              <w:rPr/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4"/>
          <w:szCs w:val="24"/>
          <w:lang w:eastAsia="ru-RU"/>
        </w:rPr>
        <w:t>Литература: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1. Винокурова Н.К. Развиваем способности детей.4 класс. - М.:РОСМЭН.-2011.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2. Гейдман Б.П., Мишарина И.Э. Подготовка к математической олимпиаде. Начальная школа.2-4 классы-М. : Айрис-пресс,2010.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3. Дробышев Ю.А. Олимпиады по математике:1-4 классы - М.: Первое сентября,2012.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4. Керова Г.В. Нестандартные задачи по математике: 1-4 классы. - М.:ВАКО,-2010.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5. Пупышева О.Н. Олимпиадные задания по математике, русскому языку и курсу "Окружающий мир". - М.:ВАКО,-2012.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6. Сухин И.Г. Занимательные материалы: Начальная школа. - М.: ВАКО,2009.</w:t>
      </w:r>
    </w:p>
    <w:p>
      <w:pPr>
        <w:pStyle w:val="style38"/>
      </w:pPr>
      <w:r>
        <w:rPr>
          <w:rFonts w:ascii="Times New Roman" w:cs="Times New Roman" w:hAnsi="Times New Roman"/>
          <w:sz w:val="24"/>
          <w:szCs w:val="24"/>
          <w:lang w:eastAsia="ru-RU"/>
        </w:rPr>
        <w:t>7. "1000 заданий для умников и умниц". - М.:АСТ-ПРЕСС КНИГА, -2011.</w:t>
      </w:r>
    </w:p>
    <w:p>
      <w:pPr>
        <w:pStyle w:val="style38"/>
        <w:spacing w:after="28" w:before="28" w:line="100" w:lineRule="atLeast"/>
      </w:pP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  <w:lang w:eastAsia="ru-RU"/>
        </w:rPr>
        <w:t>. Кенгуру. Задачи прошлых лет. 2001 – 2017 год.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hyperlink r:id="rId2">
        <w:r>
          <w:rPr>
            <w:rStyle w:val="style19"/>
            <w:rStyle w:val="style19"/>
            <w:rFonts w:ascii="Times New Roman" w:cs="Times New Roman" w:hAnsi="Times New Roman"/>
            <w:color w:val="00000A"/>
            <w:sz w:val="24"/>
            <w:szCs w:val="24"/>
          </w:rPr>
          <w:t>http://www.kenguru.sp.ru./allproblems.html</w:t>
        </w:r>
      </w:hyperlink>
      <w:r>
        <w:rPr>
          <w:rFonts w:ascii="Times New Roman" w:cs="Times New Roman" w:hAnsi="Times New Roman"/>
          <w:sz w:val="24"/>
          <w:szCs w:val="24"/>
        </w:rPr>
        <w:br/>
      </w:r>
      <w:r>
        <w:rPr>
          <w:rFonts w:ascii="Times New Roman" w:cs="Times New Roman" w:hAnsi="Times New Roman"/>
          <w:sz w:val="24"/>
          <w:szCs w:val="24"/>
          <w:lang w:eastAsia="ru-RU"/>
        </w:rPr>
        <w:t>9. Олимпиадные задания для учащихся начальной школы.</w:t>
      </w:r>
      <w:r>
        <w:rPr>
          <w:rFonts w:ascii="Times New Roman" w:cs="Times New Roman" w:hAnsi="Times New Roman"/>
          <w:sz w:val="24"/>
          <w:szCs w:val="24"/>
        </w:rPr>
        <w:t xml:space="preserve"> http://nachalka.ucoz.ru/blog</w:t>
        <w:br/>
      </w:r>
      <w:r>
        <w:rPr>
          <w:rFonts w:ascii="Times New Roman" w:cs="Times New Roman" w:hAnsi="Times New Roman"/>
          <w:sz w:val="24"/>
          <w:szCs w:val="24"/>
          <w:lang w:eastAsia="ru-RU"/>
        </w:rPr>
        <w:t>10. 365 задач для эрудитов.</w:t>
      </w:r>
      <w:r>
        <w:rPr>
          <w:rFonts w:ascii="Times New Roman" w:cs="Times New Roman" w:hAnsi="Times New Roman"/>
          <w:sz w:val="24"/>
          <w:szCs w:val="24"/>
        </w:rPr>
        <w:t xml:space="preserve"> – М.: АСТ-ПРЕСС КНИГА, 2009.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after="200" w:before="0" w:line="276" w:lineRule="atLeast"/>
    </w:pPr>
    <w:rPr>
      <w:rFonts w:ascii="Calibri" w:cs="Times New Roman" w:eastAsia="DejaVu Sans" w:hAnsi="Calibri"/>
      <w:color w:val="00000A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31"/>
    <w:pPr>
      <w:numPr>
        <w:ilvl w:val="0"/>
        <w:numId w:val="1"/>
      </w:numPr>
      <w:spacing w:after="28" w:before="28" w:line="100" w:lineRule="atLeast"/>
      <w:outlineLvl w:val="0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2" w:type="paragraph">
    <w:name w:val="Заголовок 2"/>
    <w:basedOn w:val="style0"/>
    <w:next w:val="style31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i/>
      <w:i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Заголовок 1 Знак"/>
    <w:basedOn w:val="style15"/>
    <w:next w:val="style17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styleId="style18" w:type="character">
    <w:name w:val="Заголовок 2 Знак"/>
    <w:basedOn w:val="style15"/>
    <w:next w:val="style18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9" w:type="character">
    <w:name w:val="Интернет-ссылка"/>
    <w:basedOn w:val="style15"/>
    <w:next w:val="style19"/>
    <w:rPr>
      <w:color w:val="0000FF"/>
      <w:u w:val="single"/>
      <w:lang w:bidi="ru-RU" w:eastAsia="ru-RU" w:val="ru-RU"/>
    </w:rPr>
  </w:style>
  <w:style w:styleId="style20" w:type="character">
    <w:name w:val="Выделение"/>
    <w:basedOn w:val="style15"/>
    <w:next w:val="style20"/>
    <w:rPr>
      <w:i/>
      <w:iCs/>
    </w:rPr>
  </w:style>
  <w:style w:styleId="style21" w:type="character">
    <w:name w:val="butback"/>
    <w:basedOn w:val="style15"/>
    <w:next w:val="style21"/>
    <w:rPr/>
  </w:style>
  <w:style w:styleId="style22" w:type="character">
    <w:name w:val="submenu-table"/>
    <w:basedOn w:val="style15"/>
    <w:next w:val="style22"/>
    <w:rPr/>
  </w:style>
  <w:style w:styleId="style23" w:type="character">
    <w:name w:val="c9"/>
    <w:basedOn w:val="style15"/>
    <w:next w:val="style23"/>
    <w:rPr/>
  </w:style>
  <w:style w:styleId="style24" w:type="character">
    <w:name w:val="Текст выноски Знак"/>
    <w:basedOn w:val="style15"/>
    <w:next w:val="style24"/>
    <w:rPr>
      <w:rFonts w:ascii="Tahoma" w:cs="Tahoma" w:hAnsi="Tahoma"/>
      <w:sz w:val="16"/>
      <w:szCs w:val="16"/>
    </w:rPr>
  </w:style>
  <w:style w:styleId="style25" w:type="character">
    <w:name w:val="apple-converted-space"/>
    <w:basedOn w:val="style15"/>
    <w:next w:val="style25"/>
    <w:rPr/>
  </w:style>
  <w:style w:styleId="style26" w:type="character">
    <w:name w:val="c2"/>
    <w:basedOn w:val="style15"/>
    <w:next w:val="style26"/>
    <w:rPr/>
  </w:style>
  <w:style w:styleId="style27" w:type="character">
    <w:name w:val="ListLabel 1"/>
    <w:next w:val="style27"/>
    <w:rPr>
      <w:sz w:val="20"/>
    </w:rPr>
  </w:style>
  <w:style w:styleId="style28" w:type="character">
    <w:name w:val="ListLabel 32"/>
    <w:next w:val="style28"/>
    <w:rPr>
      <w:rFonts w:cs="Symbol"/>
    </w:rPr>
  </w:style>
  <w:style w:styleId="style29" w:type="character">
    <w:name w:val="ListLabel 34"/>
    <w:next w:val="style29"/>
    <w:rPr>
      <w:rFonts w:cs="OpenSymbol"/>
    </w:rPr>
  </w:style>
  <w:style w:styleId="style30" w:type="paragraph">
    <w:name w:val="Заголовок"/>
    <w:basedOn w:val="style0"/>
    <w:next w:val="style31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</w:pPr>
    <w:rPr/>
  </w:style>
  <w:style w:styleId="style32" w:type="paragraph">
    <w:name w:val="Список"/>
    <w:basedOn w:val="style31"/>
    <w:next w:val="style32"/>
    <w:pPr/>
    <w:rPr>
      <w:rFonts w:cs="Lohit Hindi"/>
    </w:rPr>
  </w:style>
  <w:style w:styleId="style33" w:type="paragraph">
    <w:name w:val="Название"/>
    <w:basedOn w:val="style0"/>
    <w:next w:val="style3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Lohit Hindi"/>
    </w:rPr>
  </w:style>
  <w:style w:styleId="style35" w:type="paragraph">
    <w:name w:val="Normal (Web)"/>
    <w:basedOn w:val="style0"/>
    <w:next w:val="style35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6" w:type="paragraph">
    <w:name w:val="Balloon Text"/>
    <w:basedOn w:val="style0"/>
    <w:next w:val="style36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7" w:type="paragraph">
    <w:name w:val="c19"/>
    <w:basedOn w:val="style0"/>
    <w:next w:val="style37"/>
    <w:pPr/>
    <w:rPr/>
  </w:style>
  <w:style w:styleId="style38" w:type="paragraph">
    <w:name w:val="No Spacing"/>
    <w:next w:val="style38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mbria" w:cs="Cambria" w:eastAsia="Droid Sans" w:hAnsi="Cambria"/>
      <w:color w:val="00000A"/>
      <w:sz w:val="22"/>
      <w:szCs w:val="22"/>
      <w:lang w:bidi="ar-SA" w:eastAsia="en-US" w:val="ru-RU"/>
    </w:rPr>
  </w:style>
  <w:style w:styleId="style39" w:type="paragraph">
    <w:name w:val="Без интервала1"/>
    <w:next w:val="style39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Times New Roman" w:hAnsi="Calibri"/>
      <w:color w:val="00000A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enguru.sp.ru./allproblems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2013-09-20T17:27:00.00Z</dcterms:created>
  <dc:creator>Ирина</dc:creator>
  <cp:lastModifiedBy>User</cp:lastModifiedBy>
  <cp:lastPrinted>2013-09-20T19:02:00.00Z</cp:lastPrinted>
  <dcterms:modified xsi:type="dcterms:W3CDTF">2018-09-12T10:40:00.00Z</dcterms:modified>
  <cp:revision>11</cp:revision>
</cp:coreProperties>
</file>