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sz w:val="24"/>
          <w:szCs w:val="24"/>
        </w:rPr>
        <w:t>Муниципальное казённое общеобразовательное учреждение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sz w:val="24"/>
          <w:szCs w:val="24"/>
        </w:rPr>
        <w:t>«Основная общеобразовательная школа села Полевое».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8"/>
          <w:szCs w:val="28"/>
        </w:rPr>
        <w:t xml:space="preserve">СОГЛАСОВАНА                                                                   </w:t>
      </w:r>
      <w:bookmarkStart w:id="0" w:name="_GoBack"/>
      <w:bookmarkEnd w:id="0"/>
      <w:r>
        <w:rPr>
          <w:rFonts w:ascii="Times New Roman" w:cs="Times New Roman" w:eastAsia="Calibri" w:hAnsi="Times New Roman"/>
          <w:sz w:val="28"/>
          <w:szCs w:val="28"/>
        </w:rPr>
        <w:t xml:space="preserve">УТВЕРЖДЕНА                   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 xml:space="preserve">Зам. директора по ВР                                                                            приказ директора школы  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>_______Р.М.Михайличенко                                                                  29.08.2018. № 194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 xml:space="preserve">от «__» ____2018 г.               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b w:val="false"/>
          <w:bCs w:val="false"/>
          <w:sz w:val="24"/>
          <w:szCs w:val="24"/>
        </w:rPr>
        <w:t>Программа кружка по математике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b/>
          <w:sz w:val="24"/>
          <w:szCs w:val="24"/>
        </w:rPr>
        <w:t>«Подготовка к ОГЭ».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b w:val="false"/>
          <w:bCs w:val="false"/>
          <w:sz w:val="24"/>
          <w:szCs w:val="24"/>
        </w:rPr>
        <w:t>для учащихся 9 класса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sz w:val="24"/>
          <w:szCs w:val="24"/>
        </w:rPr>
        <w:t>на 2018-2019 учебный год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>Составитель: Святова Т.В.,  учитель математики.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sz w:val="24"/>
          <w:szCs w:val="24"/>
        </w:rPr>
        <w:t>с. Полевое, 2018 г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hi-IN"/>
        </w:rPr>
        <w:t>ПОЯСНИТЕЛЬНАЯ ЗАПИСКА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sz w:val="24"/>
          <w:szCs w:val="24"/>
          <w:lang w:bidi="hi-IN" w:eastAsia="hi-IN"/>
        </w:rPr>
        <w:tab/>
        <w:t>Рабочая программа составлена на основе следующих нормативных документов: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numPr>
          <w:ilvl w:val="0"/>
          <w:numId w:val="1"/>
        </w:numPr>
        <w:suppressAutoHyphens w:val="true"/>
        <w:spacing w:line="100" w:lineRule="atLeast"/>
        <w:ind w:hanging="0" w:left="45" w:right="0"/>
        <w:jc w:val="both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zh-CN"/>
        </w:rPr>
        <w:t>Федеральный закон от 29.12.2012 г. № 273-ФЗ «Об образовании в Российской Федерации» (редакция от 23.07.2013).</w:t>
      </w:r>
    </w:p>
    <w:p>
      <w:pPr>
        <w:pStyle w:val="style0"/>
        <w:numPr>
          <w:ilvl w:val="0"/>
          <w:numId w:val="1"/>
        </w:numPr>
        <w:suppressAutoHyphens w:val="true"/>
        <w:spacing w:line="100" w:lineRule="atLeast"/>
        <w:ind w:hanging="0" w:left="45" w:right="0"/>
        <w:jc w:val="both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zh-CN"/>
        </w:rPr>
        <w:t>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253/</w:t>
      </w:r>
    </w:p>
    <w:p>
      <w:pPr>
        <w:pStyle w:val="style0"/>
        <w:numPr>
          <w:ilvl w:val="0"/>
          <w:numId w:val="1"/>
        </w:numPr>
        <w:suppressAutoHyphens w:val="true"/>
        <w:spacing w:line="100" w:lineRule="atLeast"/>
        <w:ind w:hanging="0" w:left="45" w:right="0"/>
        <w:jc w:val="both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zh-CN"/>
        </w:rPr>
        <w:t>О федеральном перечне учебников / Письмо Министерства образования и науки Российской Федерации от 29.04.2014 г. № 08-548/</w:t>
      </w:r>
    </w:p>
    <w:p>
      <w:pPr>
        <w:pStyle w:val="style0"/>
        <w:numPr>
          <w:ilvl w:val="0"/>
          <w:numId w:val="1"/>
        </w:numPr>
        <w:suppressAutoHyphens w:val="true"/>
        <w:spacing w:line="100" w:lineRule="atLeast"/>
        <w:ind w:hanging="0" w:left="45" w:right="0"/>
        <w:jc w:val="both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zh-CN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02600 (Зарегистрирован Минюстом России 03.03.2011 № 23290)/</w:t>
      </w:r>
    </w:p>
    <w:p>
      <w:pPr>
        <w:pStyle w:val="style0"/>
        <w:numPr>
          <w:ilvl w:val="0"/>
          <w:numId w:val="1"/>
        </w:numPr>
        <w:suppressAutoHyphens w:val="true"/>
        <w:spacing w:line="100" w:lineRule="atLeast"/>
        <w:ind w:hanging="0" w:left="45" w:right="0"/>
        <w:jc w:val="both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zh-CN"/>
        </w:rPr>
        <w:t>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 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>
      <w:pPr>
        <w:pStyle w:val="style0"/>
        <w:widowControl w:val="false"/>
        <w:numPr>
          <w:ilvl w:val="0"/>
          <w:numId w:val="1"/>
        </w:numPr>
        <w:suppressAutoHyphens w:val="true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sz w:val="24"/>
          <w:szCs w:val="24"/>
          <w:lang w:bidi="hi-IN" w:eastAsia="hi-IN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bidi="hi-IN" w:eastAsia="hi-IN"/>
        </w:rPr>
        <w:t>Приказ Комитета образования ЕАО от 10.04.2018 г. № 1584/15-01 «Об организации образовательной деятельности в 2018/2019 учебном году»;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/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Приказ  МКОУ «ООШ с. Полевое» от 29.08.2018 г. №194 «Об утверждении программ по дополнительному образованию».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        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С 2005-2006 учебного года государственная итоговая аттестация по математике за курс основной школы проводится в новой форме. С учетом целей обучения в основной школе контрольно-измерительные материалы экзамена в новой форме проверяют сформированность комплекса умений, связанных с информационно-коммуникативной деятельностью, с получением, анализом, применением эмпирических знаний. 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      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Экзаменационная работа по математике в новой форме (ОГЭ) состоит из двух частей и трёх модулей: «Алгебра», «Геометрия», «Реальная математика». Первая часть предполагает проверку уровня обязательной подготовки учащихся (сформированность вычислительных умений, владение понятиями, знание свойств, алгоритмов, формул, решение стандартных задач). Вторая часть имеет вид традиционной контрольной работы и состоит из шести заданий. Структура экзаменационной работы и организация проведения экзамена отличается от традиционной системы аттестации, поэтому и подготовка к экзамену должна быть другой.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 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ab/>
        <w:t>Программа математического кружка «Подготовка к ОГЭ по математике» ориентирована на приобретение определённого опыта решения задач различных типов, что позволяет ученику получить дополнительную подготовку для сдачи экзамена по математике за курс основной школы.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       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Кружок направлен на подготовку учащихся к сдаче экзамена по математике в форме ОГЭ. Основной особенностью этого курса является обработка заданий по всем разделам курса математики основной школы: арифметике, геометрии, статистики и теории вероятностей.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  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Программа кружка предусматривает повторное рассмотрение и углубление теоретического материала по математике, способствует развитию логического мышления, направлена на устранение «пробелов» в базовой составляющей математики, обобщение и систематизацию знаний по основным разделам школьной программы. Прикладная направленность обеспечивается систематическим обращением к примерам, раскрывающим возможности применения математики к изучению действительности и решению прикладных задач. Так как на уроках математики недостаточно времени отводится на решение текстовых задач, задач на проценты и др., на кружке этим вопросам уделяется больше внимания.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   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Одна из целей кружка состоит в том, чтобы познакомить учащихся не только со стандартными методами решения задач, но и со стандартными ошибками, носящими массовый характер на экзаменах, научиться избегать этих ошибок, излагать и оформлять решение логически правильно, чётко, полно и последовательно, с необходимыми пояснениями.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   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Кружок рассчитан на 68 часов, 2 часа в неделю. В связи с праздничными днями и неполными рабочими неделями объединены уроки № 59,60,61(вместо 3 часов будет 2 часа) по темам «Мода, медиана, размах, среднее арифметическое» и «Вероятность случайного события»; № 62, 63, 64 (вместо 3 часов будет 2 часа) по теме «Пробная тестовая работа ( демоверсия 2019г)». 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/>
          <w:bCs/>
          <w:i/>
          <w:color w:val="000000"/>
          <w:spacing w:val="5"/>
          <w:sz w:val="24"/>
          <w:szCs w:val="24"/>
          <w:lang w:eastAsia="zh-CN"/>
        </w:rPr>
        <w:t xml:space="preserve">Цель: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подготовить учащихся к сдаче экзамена по математике в форме ОГЭ в соответствии с требованиями, предъявляемыми новыми образовательными стандартами; оказание индивидуальной, дифференцированной и психологической помощи девятикласснику при повторении курса математики и подготовки к экзаменам.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/>
          <w:bCs/>
          <w:i/>
          <w:color w:val="000000"/>
          <w:spacing w:val="5"/>
          <w:sz w:val="24"/>
          <w:szCs w:val="24"/>
          <w:lang w:eastAsia="zh-CN"/>
        </w:rPr>
        <w:t>Задачи: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Повторить, обобщить и углубить знания по алгебре и геометрии за курс основной общеобразовательной школы;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Расширить знания по отдельным темам курса «Математика», «Алгебра 7 - 9» и «Геометрия 7 - 9»;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Организовать «тренировки» выполнения текстовых заданий с целью выработки навыка их решения ( + психологическое сопровождение);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Обеспечить подготовку к успешной сдаче экзамена;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Знакомить учащихся с методикой подготовки к экзаменам.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 </w:t>
      </w:r>
      <w:r>
        <w:rPr>
          <w:rFonts w:ascii="Times New Roman" w:cs="Times New Roman" w:eastAsia="Calibri" w:hAnsi="Times New Roman"/>
          <w:b/>
          <w:bCs/>
          <w:i/>
          <w:iCs/>
          <w:color w:val="000000"/>
          <w:spacing w:val="5"/>
          <w:sz w:val="24"/>
          <w:szCs w:val="24"/>
          <w:lang w:eastAsia="zh-CN"/>
        </w:rPr>
        <w:t>Формы проведения занятий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: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лекции;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практикумы  по решению задач;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решение задач повышенной сложности( малые группы);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тестирование.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индивидуальная, коллективная.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ab/>
        <w:t>Таким образом, программа применима для различных групп школьников, в том числе,  не  имеющих  хорошей  подготовки.  Основная функция учителя в данном курсе состоит в «сопровождении» учащегося в  его познавательной деятельности, коррекции ранее полученных учащимися ЗУН.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/>
          <w:bCs/>
          <w:i/>
          <w:iCs/>
          <w:color w:val="000000"/>
          <w:spacing w:val="5"/>
          <w:sz w:val="24"/>
          <w:szCs w:val="24"/>
          <w:lang w:eastAsia="zh-CN"/>
        </w:rPr>
        <w:t>Ожидаемые результаты: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/>
          <w:bCs/>
          <w:i/>
          <w:iCs/>
          <w:color w:val="000000"/>
          <w:spacing w:val="5"/>
          <w:sz w:val="24"/>
          <w:szCs w:val="24"/>
          <w:lang w:eastAsia="zh-CN"/>
        </w:rPr>
        <w:t xml:space="preserve">        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 </w:t>
      </w: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В результате обучения в математическом кружке учащиеся должны подготовиться к государственной итоговой аттестации, уметь находить нужную информацию и грамотно её использовать, получить практические навыки применения математических знаний, научиться применять компьютерные технологии  при изучении математики,  использовать приобретенные знания и умения в практической деятельности и повседневной жизни.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/>
          <w:bCs/>
          <w:i/>
          <w:iCs/>
          <w:color w:val="000000"/>
          <w:spacing w:val="5"/>
          <w:sz w:val="24"/>
          <w:szCs w:val="24"/>
          <w:lang w:eastAsia="zh-CN"/>
        </w:rPr>
        <w:t>Учащийся должен  знать/понимать: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как используются математические формулы,  уравнения и неравенства;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как математически определенные функции могут описывать реальные зависимости;  приводить примеры такого описания;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как  потребности    практики    привели   математическую     науку   к   необходимости  расширения понятия числа;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>
          <w:rFonts w:ascii="Times New Roman" w:cs="Times New Roman" w:eastAsia="Calibri" w:hAnsi="Times New Roman"/>
          <w:bCs/>
          <w:color w:val="000000"/>
          <w:spacing w:val="5"/>
          <w:sz w:val="24"/>
          <w:szCs w:val="24"/>
          <w:lang w:eastAsia="zh-CN"/>
        </w:rPr>
        <w:t>значение математики как науки и   значение математики в повседневной жизни.</w:t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tabs>
          <w:tab w:leader="none" w:pos="708" w:val="left"/>
        </w:tabs>
        <w:suppressAutoHyphens w:val="true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b/>
          <w:sz w:val="28"/>
          <w:szCs w:val="28"/>
        </w:rPr>
        <w:t>Содержание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1.Числа.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bCs/>
          <w:sz w:val="24"/>
          <w:szCs w:val="24"/>
        </w:rPr>
        <w:t>  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Натуральные  числа. Простые числа. Разложение натурального числа на простые множители. Нахождение НОК и НОД. Обыкновенные дроби и действия с ними. Десятичные дроби и действия с ними. Целые числа, рациональные числа и действия с ними. Модуль числа.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2.Проценты.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Понятие процента. Выражение процента десятичной дробью и наоборот. Решение задач на нахождение процента от числа, числа по его проценту, на сколько процентов изменяется величина, сколько процентов одно число составляет от другого.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3.Формулы сокращенного умножения.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 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Формулы сокращенного  умножения.  Преобразование целых выражений.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4.Алгебраические дроби.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Разложение многочлена на множители.   Рациональные дроби и их свойства. Допустимые  значения переменных. Тождество, тождественные преобразования рациональных дробей.  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5.Уравнения и неравенства.  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Линейные уравнения с одной переменной. Равносильные уравнения. Системы линейных уравнений. Методы решения систем линейных уравнений. Уравнения с модулем. Квадратные уравнения. Неполные квадратные уравнения. Теорема Виета о корнях уравнения. Неравенства с одной переменной. Система неравенств. Методы решения неравенств и систем неравенств.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  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6.Функции и графики.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 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Понятие  функции. Область определения и область значения функции. График функции. Нули функции. Возрастающие и убывающие функции. Линейная функция и её свойства. Угловой коэффициент. График обратной пропорциональности. Квадратичная функция. Чтение графиков.  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7. Прогрессии: арифметическая и геометрическая.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Числовые       последовательности. Арифметическая прогрессия. Разность  арифметической прогрессии. Формула n-ого члена арифметической прогрессии. Формула  суммы  n первых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Членов арифметической прогрессии. Геометрическая прогрессия. Знаменатель геометрической прогрессии. Формула </w:t>
      </w:r>
      <w:r>
        <w:rPr>
          <w:rFonts w:ascii="Times New Roman" w:cs="Times New Roman" w:eastAsia="Calibri" w:hAnsi="Times New Roman"/>
          <w:bCs/>
          <w:sz w:val="24"/>
          <w:szCs w:val="24"/>
          <w:lang w:val="en-US"/>
        </w:rPr>
        <w:t>n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-го члена геометрической прогрессии. Формула суммы </w:t>
      </w:r>
      <w:r>
        <w:rPr>
          <w:rFonts w:ascii="Times New Roman" w:cs="Times New Roman" w:eastAsia="Calibri" w:hAnsi="Times New Roman"/>
          <w:bCs/>
          <w:sz w:val="24"/>
          <w:szCs w:val="24"/>
          <w:lang w:val="en-US"/>
        </w:rPr>
        <w:t>n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первых членов геометрической прогрессии.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8. Текстовые задачи.  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Текстовые    задачи   на  движение.   Текстовые задачи  на совместную   работу, нахождение средней скорости.  Текстовые  задачи  на  процентное  содержание веществ  в  сплавах, смесях и растворах.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9.Корни рациональной степени.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Степень с целым показателем и её свойства. Корень </w:t>
      </w:r>
      <w:r>
        <w:rPr>
          <w:rFonts w:ascii="Times New Roman" w:cs="Times New Roman" w:eastAsia="Calibri" w:hAnsi="Times New Roman"/>
          <w:bCs/>
          <w:sz w:val="24"/>
          <w:szCs w:val="24"/>
          <w:lang w:val="en-US"/>
        </w:rPr>
        <w:t>n</w:t>
      </w:r>
      <w:r>
        <w:rPr>
          <w:rFonts w:ascii="Times New Roman" w:cs="Times New Roman" w:eastAsia="Calibri" w:hAnsi="Times New Roman"/>
          <w:bCs/>
          <w:sz w:val="24"/>
          <w:szCs w:val="24"/>
        </w:rPr>
        <w:t>-ой степени и его свойства.  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10. Треугольники.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Высота, медиана, средняя линия треугольника. Равнобедренный и равносторонний треугольники. Признаки равенства и подобия треугольников. Решение треугольников. Сумма углов треугольника. Теорема Пифагора. Теорема синусов и косинусов.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11.Многоугольники.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Четырёхугольники. Правильные многоугольники.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 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12.Площади.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Площадь  параллелограмма.    Ромб,  прямоугольник,  квадрат.  Трапеция.  Средняя  линия трапеции.  Площадь трапеции. Площади правильных многоугольников. Правильные многоугольники.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13. Окружность. 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Касательная    к  окружности    и   ее  свойства.   Центральный    и   вписанный    углы.  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>Окружность,   описанная   около   треугольника.   Окружность,   вписанная   в   треугольник.  Длина окружности. Площадь круга.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14. Элементы статистики. Вероятность.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Среднее арифметическое, размах, мода. Медиана как статистическая характеристика.    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Сбор и группировка статистических данных. Методы решения комбинаторных задач: перебор возможных вариантов, дерево вариантов, правило умножения. Начальные сведения из теории вероятности. Вероятность случайного события.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15. Решение тренировочных вариантов и заданий из открытого банка заданий ОГЭ – 9.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b/>
          <w:sz w:val="24"/>
          <w:szCs w:val="24"/>
        </w:rPr>
        <w:t>Тематическое планирование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324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806"/>
        <w:gridCol w:w="5385"/>
        <w:gridCol w:w="2663"/>
      </w:tblGrid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– во часов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Проценты.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дроби.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Функции и графики.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Прогрессии: арифметическая и геометрическая.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Корни рациональной степени.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Элементы статистики и вероятность.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type="dxa" w:w="53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вариантов из открытого банка заданий для ОГЭ.</w:t>
            </w:r>
          </w:p>
        </w:tc>
        <w:tc>
          <w:tcPr>
            <w:tcW w:type="dxa" w:w="26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cantSplit w:val="false"/>
        </w:trPr>
        <w:tc>
          <w:tcPr>
            <w:tcW w:type="dxa" w:w="180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53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type="dxa" w:w="26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Интернет-ресурсы.</w:t>
      </w:r>
    </w:p>
    <w:p>
      <w:pPr>
        <w:pStyle w:val="style0"/>
        <w:numPr>
          <w:ilvl w:val="0"/>
          <w:numId w:val="2"/>
        </w:numPr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>Математика. Открытый банк заданий ГИА 2016. </w:t>
      </w:r>
      <w:hyperlink r:id="rId2">
        <w:r>
          <w:rPr>
            <w:rStyle w:val="style19"/>
            <w:rStyle w:val="style19"/>
            <w:rFonts w:ascii="Times New Roman" w:cs="Times New Roman" w:eastAsia="Calibri" w:hAnsi="Times New Roman"/>
            <w:color w:val="0000FF"/>
            <w:sz w:val="24"/>
            <w:szCs w:val="24"/>
            <w:u w:val="single"/>
          </w:rPr>
          <w:t>http://www.mathgia.ru</w:t>
        </w:r>
      </w:hyperlink>
    </w:p>
    <w:p>
      <w:pPr>
        <w:pStyle w:val="style0"/>
        <w:numPr>
          <w:ilvl w:val="0"/>
          <w:numId w:val="2"/>
        </w:numPr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>Математика online. </w:t>
      </w:r>
      <w:hyperlink r:id="rId3">
        <w:r>
          <w:rPr>
            <w:rStyle w:val="style19"/>
            <w:rStyle w:val="style19"/>
            <w:rFonts w:ascii="Times New Roman" w:cs="Times New Roman" w:eastAsia="Calibri" w:hAnsi="Times New Roman"/>
            <w:color w:val="0000FF"/>
            <w:sz w:val="24"/>
            <w:szCs w:val="24"/>
            <w:u w:val="single"/>
          </w:rPr>
          <w:t>http://mathem.by.ru/index.html</w:t>
        </w:r>
      </w:hyperlink>
    </w:p>
    <w:p>
      <w:pPr>
        <w:pStyle w:val="style0"/>
        <w:spacing w:after="0" w:before="0" w:line="100" w:lineRule="atLeast"/>
        <w:ind w:hanging="0" w:left="720" w:right="0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b/>
          <w:sz w:val="28"/>
          <w:szCs w:val="28"/>
          <w:u w:val="single"/>
        </w:rPr>
        <w:t>Литература.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 xml:space="preserve">1 .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 </w:t>
      </w:r>
      <w:r>
        <w:rPr>
          <w:rFonts w:ascii="Times New Roman" w:cs="Times New Roman" w:eastAsia="Calibri" w:hAnsi="Times New Roman"/>
          <w:sz w:val="24"/>
          <w:szCs w:val="24"/>
        </w:rPr>
        <w:t>"ОГЭ-2016. Математика". </w:t>
      </w:r>
      <w:hyperlink r:id="rId4">
        <w:r>
          <w:rPr>
            <w:rStyle w:val="style19"/>
            <w:rStyle w:val="style19"/>
            <w:rFonts w:ascii="Times New Roman" w:cs="Times New Roman" w:eastAsia="Calibri" w:hAnsi="Times New Roman"/>
            <w:color w:val="0000FF"/>
            <w:sz w:val="24"/>
            <w:szCs w:val="24"/>
            <w:u w:val="single"/>
          </w:rPr>
          <w:t>Семенов  А. В.</w:t>
        </w:r>
      </w:hyperlink>
      <w:r>
        <w:rPr>
          <w:rFonts w:ascii="Times New Roman" w:cs="Times New Roman" w:eastAsia="Calibri" w:hAnsi="Times New Roman"/>
          <w:sz w:val="24"/>
          <w:szCs w:val="24"/>
        </w:rPr>
        <w:t>, Захаров П. И., Трепалин А. С.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>2.  "ОГЭ 2016. Математика. 9 класс. Типовые тестовые задания".  Ященко И.В.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>3.  "Математика. 9 класс. ОГЭ 2016. Типовые тестовые задания".  Ященко И.В.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>4.  "ОГЭ 2015. Математика. Типовые тестовые задания. 30 вар. заданий. 3 модуля".  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Ященко И.В.   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 xml:space="preserve">5. "ОГЭ (ГИА-9) 2015. Математика. 9 класс. Практикум по выполнению типовых тестовых 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sz w:val="24"/>
          <w:szCs w:val="24"/>
        </w:rPr>
        <w:t>заданий»  Лаппо Л.Д.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 xml:space="preserve">6. "Математика. 9 кл. Тематические тесты для подготовки к ГИА-2015. Алгебра, геометрия,  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sz w:val="24"/>
          <w:szCs w:val="24"/>
        </w:rPr>
        <w:t>теория вероятностей Лысенко Ф.Ф.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sz w:val="24"/>
          <w:szCs w:val="24"/>
        </w:rPr>
        <w:t>Обеспечение.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jc w:val="left"/>
      </w:pPr>
      <w:r>
        <w:rPr>
          <w:rFonts w:ascii="Times New Roman" w:cs="Times New Roman" w:eastAsia="Calibri" w:hAnsi="Times New Roman"/>
          <w:sz w:val="24"/>
          <w:szCs w:val="24"/>
        </w:rPr>
        <w:t>Компьютеры — 6 шт</w:t>
      </w:r>
    </w:p>
    <w:p>
      <w:pPr>
        <w:pStyle w:val="style0"/>
        <w:numPr>
          <w:ilvl w:val="0"/>
          <w:numId w:val="4"/>
        </w:numPr>
        <w:spacing w:after="0" w:before="0" w:line="100" w:lineRule="atLeast"/>
        <w:jc w:val="left"/>
      </w:pPr>
      <w:r>
        <w:rPr>
          <w:rFonts w:ascii="Times New Roman" w:cs="Times New Roman" w:eastAsia="Calibri" w:hAnsi="Times New Roman"/>
          <w:sz w:val="24"/>
          <w:szCs w:val="24"/>
        </w:rPr>
        <w:t>КИМы — 7 шт</w:t>
      </w:r>
    </w:p>
    <w:p>
      <w:pPr>
        <w:pStyle w:val="style0"/>
        <w:numPr>
          <w:ilvl w:val="0"/>
          <w:numId w:val="4"/>
        </w:numPr>
        <w:spacing w:after="0" w:before="0" w:line="200" w:lineRule="atLeast"/>
        <w:jc w:val="left"/>
      </w:pPr>
      <w:r>
        <w:rPr>
          <w:rFonts w:ascii="Times New Roman" w:hAnsi="Times New Roman"/>
          <w:sz w:val="24"/>
          <w:szCs w:val="24"/>
        </w:rPr>
        <w:t>Доска.</w:t>
      </w:r>
    </w:p>
    <w:p>
      <w:pPr>
        <w:pStyle w:val="style0"/>
        <w:numPr>
          <w:ilvl w:val="0"/>
          <w:numId w:val="4"/>
        </w:numPr>
        <w:spacing w:after="0" w:before="0" w:line="200" w:lineRule="atLeast"/>
        <w:jc w:val="left"/>
      </w:pPr>
      <w:r>
        <w:rPr>
          <w:rFonts w:ascii="Times New Roman" w:cs="Times New Roman" w:eastAsia="Calibri" w:hAnsi="Times New Roman"/>
          <w:sz w:val="24"/>
          <w:szCs w:val="24"/>
        </w:rPr>
        <w:t>Мел.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keepNext/>
        <w:keepLines/>
        <w:spacing w:after="0" w:before="200"/>
        <w:jc w:val="center"/>
      </w:pPr>
      <w:r>
        <w:rPr>
          <w:rFonts w:ascii="Times New Roman" w:cs="Times New Roman" w:eastAsia="Times New Roman" w:hAnsi="Times New Roman"/>
          <w:b/>
          <w:bCs/>
          <w:color w:val="1D1B11"/>
          <w:sz w:val="28"/>
          <w:szCs w:val="28"/>
        </w:rPr>
        <w:t>Календарно – тематическое планирование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120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369"/>
        <w:gridCol w:w="2369"/>
        <w:gridCol w:w="2370"/>
        <w:gridCol w:w="2369"/>
      </w:tblGrid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(5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Натуральные числа. Признаки делимости. Разложение числа  на простые множители.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дроби. Действия с обыкновенными дробями.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дроби. Действия с десятичными дробями.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Целые числа. Действия с целыми числами.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числа. Действия с рациональными числами. Модуль числа.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Проценты ( 5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Понятие процента. Выражение процентов десятичной дробью и наоборот. Решение задач на нахождение процентов от числа.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числа по его проценту.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Формулы сокращённого умножения ( 3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целых выражений.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Алгебраические дроби ( 5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выражения, допустимые значения переменных.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Действия с дробями.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Тождественное преобразование дробных выражений.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Тождественное преобразование дробных выражений.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( 5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уравнений и сводящихся к ним. Уравнения с модулем.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уравнения. Неполные квадратные уравнения. Теорема Виета о корнях квадратного уравнения.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 уравнений.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Неравенства. Системы неравенств. Квадратные неравенства.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trHeight w:hRule="atLeast" w:val="426"/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и графики ( 4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Функция. ОДЗ. Нули функции. График. Чтение графиков.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функция, свойства и график. График обратной пропорциональности.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 и её график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Чтение графиков.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Прогрессии: арифметическая и геометрическая ( 4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упражнение по теме «Последовательности».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Текстовые задачи ( 6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Задачи на процентное содержание веществ в сплавах и растворах.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trHeight w:hRule="atLeast" w:val="413"/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Корни рациональной степени (3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 и его свойства.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Треугольники ( 5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Биссектриса, высота, медиана, средняя линия треугольников. Равнобедренный, равносторонний, прямоугольный треугольники и их свойства.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Многоугольники ( 4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Четырёхугольники. 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Четырёхугольники.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Площади ( 4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Площади четырёхугольников.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Площади четырёхугольников.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Площади правильных многоугольников.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Площади правильных многоугольников.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Окружность ( 5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Касательная к окружности и её свойства.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Касательная к окружности и её свойства.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и вписанные углы. Описанная окружность.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статистики и вероятность ( 3 ч).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Мода, размах, медиана, среднее арифметическое.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47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тренировочных вариантов из открытого банка заданий ОГЭ ( 7 ч)</w:t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type="dxa" w:w="236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4"/>
                <w:szCs w:val="24"/>
              </w:rPr>
              <w:t>Пробная тестовая работа</w:t>
            </w:r>
          </w:p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(демоверсия 2019 г).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type="dxa" w:w="236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type="dxa" w:w="236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вариантов из</w:t>
            </w:r>
          </w:p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открытого банка заданий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вариантов из открытого банка заданий.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тренировочных вариантов из </w:t>
            </w:r>
          </w:p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открытого банка заданий.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вариантов из открытого банка заданий</w:t>
            </w:r>
          </w:p>
        </w:tc>
        <w:tc>
          <w:tcPr>
            <w:tcW w:type="dxa" w:w="2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type="dxa" w:w="23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798" w:val="num"/>
        </w:tabs>
        <w:ind w:hanging="360" w:left="798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158" w:val="num"/>
        </w:tabs>
        <w:ind w:hanging="360" w:left="1158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518" w:val="num"/>
        </w:tabs>
        <w:ind w:hanging="360" w:left="1518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78" w:val="num"/>
        </w:tabs>
        <w:ind w:hanging="360" w:left="1878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238" w:val="num"/>
        </w:tabs>
        <w:ind w:hanging="360" w:left="2238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98" w:val="num"/>
        </w:tabs>
        <w:ind w:hanging="360" w:left="2598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958" w:val="num"/>
        </w:tabs>
        <w:ind w:hanging="360" w:left="2958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318" w:val="num"/>
        </w:tabs>
        <w:ind w:hanging="360" w:left="3318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78" w:val="num"/>
        </w:tabs>
        <w:ind w:hanging="360" w:left="3678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Droid Sans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OpenSymbol" w:eastAsia="Times New Roman"/>
    </w:rPr>
  </w:style>
  <w:style w:styleId="style19" w:type="character">
    <w:name w:val="Интернет-ссылка"/>
    <w:next w:val="style19"/>
    <w:rPr>
      <w:color w:val="000080"/>
      <w:u w:val="single"/>
      <w:lang w:bidi="ru-RU" w:eastAsia="ru-RU" w:val="ru-RU"/>
    </w:rPr>
  </w:style>
  <w:style w:styleId="style20" w:type="character">
    <w:name w:val="Маркеры списка"/>
    <w:next w:val="style20"/>
    <w:rPr>
      <w:rFonts w:ascii="OpenSymbol" w:cs="OpenSymbol" w:eastAsia="OpenSymbol" w:hAnsi="OpenSymbol"/>
    </w:rPr>
  </w:style>
  <w:style w:styleId="style21" w:type="character">
    <w:name w:val="ListLabel 3"/>
    <w:next w:val="style21"/>
    <w:rPr>
      <w:rFonts w:cs="Symbol"/>
    </w:rPr>
  </w:style>
  <w:style w:styleId="style22" w:type="character">
    <w:name w:val="ListLabel 4"/>
    <w:next w:val="style22"/>
    <w:rPr>
      <w:rFonts w:cs="OpenSymbol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OpenSymbol"/>
    </w:rPr>
  </w:style>
  <w:style w:styleId="style25" w:type="paragraph">
    <w:name w:val="Заголовок"/>
    <w:basedOn w:val="style0"/>
    <w:next w:val="style26"/>
    <w:pPr>
      <w:keepNext/>
      <w:spacing w:after="120" w:before="240"/>
    </w:pPr>
    <w:rPr>
      <w:rFonts w:ascii="Liberation Sans" w:cs="Lohit Hindi" w:eastAsia="Droid Sans" w:hAnsi="Liberation Sans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</w:pPr>
    <w:rPr/>
  </w:style>
  <w:style w:styleId="style27" w:type="paragraph">
    <w:name w:val="Список"/>
    <w:basedOn w:val="style26"/>
    <w:next w:val="style27"/>
    <w:pPr/>
    <w:rPr>
      <w:rFonts w:cs="Lohit Hindi"/>
    </w:rPr>
  </w:style>
  <w:style w:styleId="style28" w:type="paragraph">
    <w:name w:val="Название"/>
    <w:basedOn w:val="style0"/>
    <w:next w:val="style2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Lohit Hindi"/>
    </w:rPr>
  </w:style>
  <w:style w:styleId="style30" w:type="paragraph">
    <w:name w:val="Balloon Text"/>
    <w:basedOn w:val="style0"/>
    <w:next w:val="style30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q=http://www.mathgia.ru&amp;sa=D&amp;usg=AFQjCNERrIix8zrBoe70crJv8vD2wgA-7w" TargetMode="External"/><Relationship Id="rId3" Type="http://schemas.openxmlformats.org/officeDocument/2006/relationships/hyperlink" Target="https://www.google.com/url?q=http://mathem.by.ru/index.html&amp;sa=D&amp;usg=AFQjCNE6N8SWkwWoA4-sfI7P6VjCLjYxtw" TargetMode="External"/><Relationship Id="rId4" Type="http://schemas.openxmlformats.org/officeDocument/2006/relationships/hyperlink" Target="https://www.google.com/url?q=http://www.labirint.ru/authors/63573/&amp;sa=D&amp;usg=AFQjCNEwoy-v65svzka6rhW8rF4eBACKv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2018-09-18T11:55:00.00Z</dcterms:created>
  <dc:creator>Тамара</dc:creator>
  <cp:lastModifiedBy>Тамара</cp:lastModifiedBy>
  <cp:lastPrinted>2018-09-25T14:54:05.00Z</cp:lastPrinted>
  <dcterms:modified xsi:type="dcterms:W3CDTF">2018-09-25T02:55:00.00Z</dcterms:modified>
  <cp:revision>5</cp:revision>
</cp:coreProperties>
</file>